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 xml:space="preserve">Тарифи на 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послуги з централізованого постачання холодної води,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 xml:space="preserve"> водовідведення 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(з використанням внутрішньобудинкових систем)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bookmarkStart w:id="0" w:name="__DdeLink__7177_1070288488"/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val="uk-UA" w:eastAsia="uk-UA"/>
              </w:rPr>
              <w:t>ах енергетики та</w:t>
            </w:r>
            <w:bookmarkEnd w:id="0"/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 xml:space="preserve"> комунальних послуг від 22.03.2017р. №311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15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7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всіх груп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5,556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7,512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13,068</w:t>
            </w:r>
          </w:p>
        </w:tc>
      </w:tr>
    </w:tbl>
    <w:p>
      <w:pPr>
        <w:pStyle w:val="Normal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/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val="uk-UA" w:eastAsia="uk-UA"/>
              </w:rPr>
              <w:t>ах енергетики та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 xml:space="preserve"> комунальних послуг від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 xml:space="preserve"> 22.03.2017р.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 xml:space="preserve"> №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310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15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7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i/>
                <w:i/>
                <w:iCs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всіх груп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5,16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6,984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12,144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i/>
                <w:i/>
                <w:iCs/>
                <w:sz w:val="16"/>
                <w:szCs w:val="16"/>
              </w:rPr>
            </w:pPr>
            <w:r>
              <w:rPr>
                <w:rFonts w:ascii="Arial;sans-serif" w:hAnsi="Arial;sans-serif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споживачам, які є суб’єктами господарювання у сфері централізованого водопостачання та водовідведення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3,06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3,06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/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 xml:space="preserve">Тарифи на 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послуги з централізованого постачання холодної води,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 xml:space="preserve"> водовідведення 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(з використанням внутрішньобудинкових систем)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val="uk-UA" w:eastAsia="uk-UA"/>
              </w:rPr>
              <w:t>ах енергетики та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 xml:space="preserve"> комунальних послуг від 16.06.2016р. №1142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8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р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всіх груп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4,79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6,69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11,48</w:t>
            </w:r>
          </w:p>
        </w:tc>
      </w:tr>
    </w:tbl>
    <w:p>
      <w:pPr>
        <w:pStyle w:val="Normal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/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val="uk-UA" w:eastAsia="uk-UA"/>
              </w:rPr>
              <w:t>ах енергетики та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 xml:space="preserve"> комунальних послуг від 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16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.0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6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6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р. №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1141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8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всіх груп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4,44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6,204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10,644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i/>
                <w:i/>
                <w:iCs/>
                <w:sz w:val="16"/>
                <w:szCs w:val="16"/>
              </w:rPr>
            </w:pPr>
            <w:r>
              <w:rPr>
                <w:rFonts w:ascii="Arial;sans-serif" w:hAnsi="Arial;sans-serif"/>
                <w:b w:val="false"/>
                <w:i/>
                <w:iCs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споживачам, які є суб’єктами господарювання у сфері централізованого водопостачання та водовідведення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-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2,676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2,676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/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 xml:space="preserve">Тарифи на 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послуги з централізованого постачання холодної води,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 xml:space="preserve"> водовідведення </w:t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(з використанням внутрішньобудинкових систем)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val="uk-UA" w:eastAsia="uk-UA"/>
              </w:rPr>
              <w:t>ах енергетики та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 xml:space="preserve"> комунальних послуг від 2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6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.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11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5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р. №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2868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всіх груп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3,73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5,25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8,98</w:t>
            </w:r>
          </w:p>
        </w:tc>
      </w:tr>
    </w:tbl>
    <w:p>
      <w:pPr>
        <w:pStyle w:val="Normal"/>
        <w:jc w:val="center"/>
        <w:rPr/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val="uk-UA" w:eastAsia="uk-UA"/>
              </w:rPr>
              <w:t>ах енергетики та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 xml:space="preserve"> комунальних послуг від 2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6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.0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5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р. №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883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.201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</w:t>
            </w: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всіх груп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3,432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4,824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8,256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/>
      </w:r>
    </w:p>
    <w:p>
      <w:pPr>
        <w:pStyle w:val="Normal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bookmarkStart w:id="1" w:name="_GoBack"/>
      <w:bookmarkEnd w:id="1"/>
      <w:r>
        <w:rPr/>
        <w:tab/>
      </w: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23.05.2014р. №560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01.07.2014р.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всіх груп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3,168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4,356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7,524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без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без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без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22.11.2013р. №233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01.01.2014р.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бюджетних установ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2,58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3,56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6,14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інших споживачів(крім населення)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2,58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3,56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6,14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Тарифи на водопостачання та водовідведення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4650"/>
        <w:gridCol w:w="1277"/>
        <w:gridCol w:w="1232"/>
        <w:gridCol w:w="1232"/>
        <w:gridCol w:w="1248"/>
      </w:tblGrid>
      <w:tr>
        <w:trPr/>
        <w:tc>
          <w:tcPr>
            <w:tcW w:w="4650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Нормативний документ</w:t>
            </w:r>
          </w:p>
        </w:tc>
        <w:tc>
          <w:tcPr>
            <w:tcW w:w="1277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Введення в дію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з ПДВ, грн</w:t>
            </w:r>
          </w:p>
        </w:tc>
        <w:tc>
          <w:tcPr>
            <w:tcW w:w="123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стоків з ПДВ, грн</w:t>
            </w:r>
          </w:p>
        </w:tc>
        <w:tc>
          <w:tcPr>
            <w:tcW w:w="1248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Вартість 1м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vertAlign w:val="superscript"/>
                <w:lang w:eastAsia="uk-UA"/>
              </w:rPr>
              <w:t>3</w:t>
            </w: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 води і стоків з ПДВ, грн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Національної комісії, що здійснює державне регулювання у сфері комунальних послуг від 13.09.2013р. №161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01.10.2013р.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бюджетних установ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2,772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3,672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6,444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інших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3,012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3,972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6,984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КП "Тернопільміськтеплокомуненерго"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2,604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3,348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5,952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НКРРКП України від 10.02.2012р. №99</w:t>
            </w:r>
          </w:p>
        </w:tc>
        <w:tc>
          <w:tcPr>
            <w:tcW w:w="1277" w:type="dxa"/>
            <w:vMerge w:val="restart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01.03.2012р.</w:t>
            </w:r>
          </w:p>
        </w:tc>
        <w:tc>
          <w:tcPr>
            <w:tcW w:w="3712" w:type="dxa"/>
            <w:gridSpan w:val="3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2,40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3,084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5,484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населення сіл на ділянці водогону від ВНС5 до ВНС4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1,608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1,608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населення інших сіл Тернопільської області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2,256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3,024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5,280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потреб ОСББ, ЖБК, ТІЗ, ЖЕК та інших організацій, які розраховуються відповідно до загальнобудинкових лічильників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2,244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2,988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5,232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КП "Тернопільміськтеплокомуненерго" ТМР на виробництво гарячої води та опалення для потреб населення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2,40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3,084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5,484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НКРРКП України від 30.09.2011р. №177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01.10.2011р.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бюджетних установ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2,58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3,396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5,976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інших споживачів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3,012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3,972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6,984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КП "Тернопільміськтеплокомуненерго"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2,412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3,072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5,484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Постанова НКРЕ України від 20.01.2011р. №64</w:t>
            </w:r>
          </w:p>
        </w:tc>
        <w:tc>
          <w:tcPr>
            <w:tcW w:w="1277" w:type="dxa"/>
            <w:vMerge w:val="restart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01.02.2011р.</w:t>
            </w:r>
          </w:p>
        </w:tc>
        <w:tc>
          <w:tcPr>
            <w:tcW w:w="3712" w:type="dxa"/>
            <w:gridSpan w:val="3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2,28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2,904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5,184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населення сіл на дільниці водогону від ВНС-5 до ВНС-4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1,452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1,452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населення інших сіл Тернопільської області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2,10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2,856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4,956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виконавців послуг водопостачання та водовідведення для населення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2,124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2,784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4,908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виконавчого комітету Тернопільської міськради №285 від 25.02.2010р.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01.03.2010р.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2,20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2,80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5,00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м.Тернопіль, для ОСББ, ЖБК, ТІЗ, ЖЕК та інших організацій при умові укладання</w:t>
            </w:r>
            <w:r>
              <w:rPr>
                <w:rFonts w:eastAsia="Times New Roman" w:cs="Times New Roman" w:ascii="Verdana" w:hAnsi="Verdana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>двосторонього</w:t>
            </w: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 договору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1,95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2,55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4,50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м.Тернопіль, для ОСББ, ЖБК, ТІЗ, ЖЕК та інших організацій при умові укладання</w:t>
            </w:r>
            <w:r>
              <w:rPr>
                <w:rFonts w:eastAsia="Times New Roman" w:cs="Times New Roman" w:ascii="Verdana" w:hAnsi="Verdana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>тристоронього</w:t>
            </w: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 договору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2,12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2,78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4,90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2,10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2,10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 </w:t>
            </w:r>
            <w:r>
              <w:rPr>
                <w:rFonts w:eastAsia="Times New Roman" w:cs="Times New Roman" w:ascii="Verdana" w:hAnsi="Verdana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>при умові проведення розрахунків за показами загальногрупових лічильників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1,90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1,90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1,45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2,10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 </w:t>
            </w:r>
            <w:r>
              <w:rPr>
                <w:rFonts w:eastAsia="Times New Roman" w:cs="Times New Roman" w:ascii="Verdana" w:hAnsi="Verdana"/>
                <w:b/>
                <w:bCs/>
                <w:i/>
                <w:iCs/>
                <w:color w:val="000000"/>
                <w:sz w:val="17"/>
                <w:szCs w:val="17"/>
                <w:lang w:eastAsia="uk-UA"/>
              </w:rPr>
              <w:t>при умові проведення розрахунків за показами загальногрупових лічильників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1,25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1,25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села Гаї Ходорівські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2,75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2,75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№2691 від 30.12.2008р.</w:t>
            </w:r>
          </w:p>
        </w:tc>
        <w:tc>
          <w:tcPr>
            <w:tcW w:w="1277" w:type="dxa"/>
            <w:vMerge w:val="restart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01.01.2009р.</w:t>
            </w:r>
          </w:p>
        </w:tc>
        <w:tc>
          <w:tcPr>
            <w:tcW w:w="3712" w:type="dxa"/>
            <w:gridSpan w:val="3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1,78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2,22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4,00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1,69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1,69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1,14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1,14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села Гаї Ходорівські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2,19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2,19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№2019 від 24.12.2007р.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01.01.2008р.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1,37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1,63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3,00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1,28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1,28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0,97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0,97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села Гаї Ходорівські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1,62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1,62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№872 від 10.07.2006р.</w:t>
            </w:r>
          </w:p>
        </w:tc>
        <w:tc>
          <w:tcPr>
            <w:tcW w:w="1277" w:type="dxa"/>
            <w:vMerge w:val="restart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01.08.2006р.</w:t>
            </w:r>
          </w:p>
        </w:tc>
        <w:tc>
          <w:tcPr>
            <w:tcW w:w="3712" w:type="dxa"/>
            <w:gridSpan w:val="3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1,08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1,20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2,28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1,06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1,06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0,69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0,69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села Гаї Ходорівські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1,18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1,18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№570 від 18.05.2005р.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01.07.2005р.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м.Тернопіль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0,852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0,912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1,764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Гаї Великі, Петриків, Гаї Чумакові, Гаї Гречинські, Біла (вул. Стефаника, Набережна, Кос-Анатольського, Нова, Миру, частина Крушельницької)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0,84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0,84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сіл Плотича, Гаї Шевченківські, Біла (всі інші вулиці не зазначені вище та частина Крушельницької), Івачів Долішній (понад норму)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0,66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0,66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села Гаї Ходорівські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0,90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0,90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№475 від 14.05.2003р.</w:t>
            </w:r>
          </w:p>
        </w:tc>
        <w:tc>
          <w:tcPr>
            <w:tcW w:w="1277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29.05.2003р.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0,492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0,516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1,008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№337 від 03.04.2003р.</w:t>
            </w:r>
          </w:p>
        </w:tc>
        <w:tc>
          <w:tcPr>
            <w:tcW w:w="1277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10.04.2003р.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0,492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0,516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1,008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№411 від 15.05.2002р.</w:t>
            </w:r>
          </w:p>
        </w:tc>
        <w:tc>
          <w:tcPr>
            <w:tcW w:w="1277" w:type="dxa"/>
            <w:vMerge w:val="restart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01.05.2002р.</w:t>
            </w:r>
          </w:p>
        </w:tc>
        <w:tc>
          <w:tcPr>
            <w:tcW w:w="3712" w:type="dxa"/>
            <w:gridSpan w:val="3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абонентів без квартирних лічильників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0,492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0,516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1,008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абонентів з квартирними лічильниками</w:t>
            </w:r>
          </w:p>
        </w:tc>
        <w:tc>
          <w:tcPr>
            <w:tcW w:w="1277" w:type="dxa"/>
            <w:vMerge w:val="continue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0,4674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0,4902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0,9576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№209 від 01.03.2001р.</w:t>
            </w:r>
          </w:p>
        </w:tc>
        <w:tc>
          <w:tcPr>
            <w:tcW w:w="1277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01.05.2001р.</w:t>
            </w:r>
          </w:p>
        </w:tc>
        <w:tc>
          <w:tcPr>
            <w:tcW w:w="3712" w:type="dxa"/>
            <w:gridSpan w:val="3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абонентів без квартирних лічильників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0,5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0,54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1,04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i/>
                <w:iCs/>
                <w:color w:val="000000"/>
                <w:sz w:val="17"/>
                <w:szCs w:val="17"/>
                <w:lang w:eastAsia="uk-UA"/>
              </w:rPr>
              <w:t>для абонентів з квартирними лічильниками</w:t>
            </w:r>
          </w:p>
        </w:tc>
        <w:tc>
          <w:tcPr>
            <w:tcW w:w="1277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0,475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0,513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0,988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№427 від 17.05.2000р.</w:t>
            </w:r>
          </w:p>
        </w:tc>
        <w:tc>
          <w:tcPr>
            <w:tcW w:w="1277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01.05.2000р.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0,444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0,48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0,924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Рішення виконкому Тернопільської міськради №180 від 23.02.2000р.</w:t>
            </w:r>
          </w:p>
        </w:tc>
        <w:tc>
          <w:tcPr>
            <w:tcW w:w="1277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01.03.2000р.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0,52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0,498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1,018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№1157 від 29.10.1998р.</w:t>
            </w:r>
          </w:p>
        </w:tc>
        <w:tc>
          <w:tcPr>
            <w:tcW w:w="1277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01.11.1998р.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0,312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№371 від 21.08.1998р.</w:t>
            </w:r>
          </w:p>
        </w:tc>
        <w:tc>
          <w:tcPr>
            <w:tcW w:w="1277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01.09.1998р.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0,204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0,18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0,384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№147 від 27.04.1998р.</w:t>
            </w:r>
          </w:p>
        </w:tc>
        <w:tc>
          <w:tcPr>
            <w:tcW w:w="1277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01.05.1998р.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0,312</w:t>
            </w:r>
          </w:p>
        </w:tc>
      </w:tr>
      <w:tr>
        <w:trPr/>
        <w:tc>
          <w:tcPr>
            <w:tcW w:w="465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№432 від 21.10.1997р.</w:t>
            </w:r>
          </w:p>
        </w:tc>
        <w:tc>
          <w:tcPr>
            <w:tcW w:w="1277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01.10.1997р.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123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0,156</w:t>
            </w:r>
          </w:p>
        </w:tc>
        <w:tc>
          <w:tcPr>
            <w:tcW w:w="124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0,312</w:t>
            </w:r>
          </w:p>
        </w:tc>
      </w:tr>
      <w:tr>
        <w:trPr/>
        <w:tc>
          <w:tcPr>
            <w:tcW w:w="465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u w:val="single"/>
                <w:lang w:eastAsia="uk-UA"/>
              </w:rPr>
              <w:t>Розпорядження голови ОДА №325 від 07.08.1996р.</w:t>
            </w:r>
          </w:p>
        </w:tc>
        <w:tc>
          <w:tcPr>
            <w:tcW w:w="1277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01.08.1996р.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0,15</w:t>
            </w:r>
          </w:p>
        </w:tc>
        <w:tc>
          <w:tcPr>
            <w:tcW w:w="123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0,16</w:t>
            </w:r>
          </w:p>
        </w:tc>
        <w:tc>
          <w:tcPr>
            <w:tcW w:w="124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0,31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Норми споживання питної води населенням,</w:t>
      </w:r>
    </w:p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затверджені рішенням виконкому</w:t>
      </w:r>
    </w:p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Тернопільської міської ради №360 від 10.04.2014р.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514"/>
        <w:gridCol w:w="6135"/>
        <w:gridCol w:w="2849"/>
        <w:gridCol w:w="140"/>
      </w:tblGrid>
      <w:tr>
        <w:trPr/>
        <w:tc>
          <w:tcPr>
            <w:tcW w:w="514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№</w:t>
            </w:r>
          </w:p>
        </w:tc>
        <w:tc>
          <w:tcPr>
            <w:tcW w:w="6135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Види благоустрою житлового фонду</w:t>
            </w:r>
          </w:p>
        </w:tc>
        <w:tc>
          <w:tcPr>
            <w:tcW w:w="2849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Норми споживання населенням послуг централізованого питного водопостачання холодної води, л/добу * особу</w:t>
            </w:r>
          </w:p>
        </w:tc>
        <w:tc>
          <w:tcPr>
            <w:tcW w:w="140" w:type="dxa"/>
            <w:tcBorders/>
            <w:shd w:fill="F3F3F3" w:val="clea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8" w:type="dxa"/>
            <w:gridSpan w:val="4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u w:val="single"/>
                <w:lang w:eastAsia="uk-UA"/>
              </w:rPr>
              <w:t>1.Багатоквартирні житлові будинки</w:t>
            </w:r>
          </w:p>
        </w:tc>
      </w:tr>
      <w:tr>
        <w:trPr/>
        <w:tc>
          <w:tcPr>
            <w:tcW w:w="514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водопроводом і каналізацією без ванн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120,0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водопроводом і каналізацією з ваннами та індивідуальними водопідігрівачами (газовими колонками або котлами, електро-бойлерами)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300,0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водопроводом і каналізацією, з ваннами без індивідуальних водопідігрівачів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180,0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водопроводом і каналізацією, ЦГВ, з умивальниками, мийками та душами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135,0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 те ж саме, при відсутності гарячої води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200,0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водопроводом і каналізацією, ЦГВ, з ваннами та душами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240,0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 те ж саме, при відсутності гарячої води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300,0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9638" w:type="dxa"/>
            <w:gridSpan w:val="4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u w:val="single"/>
                <w:lang w:eastAsia="uk-UA"/>
              </w:rPr>
              <w:t>2.Приватні житлові будинки</w:t>
            </w:r>
          </w:p>
        </w:tc>
      </w:tr>
      <w:tr>
        <w:trPr/>
        <w:tc>
          <w:tcPr>
            <w:tcW w:w="514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</w:t>
            </w:r>
          </w:p>
        </w:tc>
        <w:tc>
          <w:tcPr>
            <w:tcW w:w="6135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користуванням питною водою з вуличних водорозбірних колонок</w:t>
            </w:r>
          </w:p>
        </w:tc>
        <w:tc>
          <w:tcPr>
            <w:tcW w:w="284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50,0</w:t>
            </w:r>
          </w:p>
        </w:tc>
        <w:tc>
          <w:tcPr>
            <w:tcW w:w="14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7</w:t>
            </w:r>
          </w:p>
        </w:tc>
        <w:tc>
          <w:tcPr>
            <w:tcW w:w="6135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користуванням питною водою з дворових водорозбірних колонок або водорозбірних крані</w:t>
            </w:r>
          </w:p>
        </w:tc>
        <w:tc>
          <w:tcPr>
            <w:tcW w:w="284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110,0</w:t>
            </w:r>
          </w:p>
        </w:tc>
        <w:tc>
          <w:tcPr>
            <w:tcW w:w="14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8</w:t>
            </w:r>
          </w:p>
        </w:tc>
        <w:tc>
          <w:tcPr>
            <w:tcW w:w="6135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водопроводом і каналізацією (або вигрібом), без ванн</w:t>
            </w:r>
          </w:p>
        </w:tc>
        <w:tc>
          <w:tcPr>
            <w:tcW w:w="284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120,0</w:t>
            </w:r>
          </w:p>
        </w:tc>
        <w:tc>
          <w:tcPr>
            <w:tcW w:w="14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9</w:t>
            </w:r>
          </w:p>
        </w:tc>
        <w:tc>
          <w:tcPr>
            <w:tcW w:w="6135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водопроводом і каналізацією (або вигрібом), з ваннами без індивідуальних водопідігрівачів</w:t>
            </w:r>
          </w:p>
        </w:tc>
        <w:tc>
          <w:tcPr>
            <w:tcW w:w="284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180,0</w:t>
            </w:r>
          </w:p>
        </w:tc>
        <w:tc>
          <w:tcPr>
            <w:tcW w:w="14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10</w:t>
            </w:r>
          </w:p>
        </w:tc>
        <w:tc>
          <w:tcPr>
            <w:tcW w:w="6135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з водопроводом і каналізацією (або вигрібом), з ваннами та індивідуальними водопідігрівачами (газовими колонками або котлами, електробойлерами, нагрівачами на твердому паливі)</w:t>
            </w:r>
          </w:p>
        </w:tc>
        <w:tc>
          <w:tcPr>
            <w:tcW w:w="284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300,0</w:t>
            </w:r>
          </w:p>
        </w:tc>
        <w:tc>
          <w:tcPr>
            <w:tcW w:w="140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9638" w:type="dxa"/>
            <w:gridSpan w:val="4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u w:val="single"/>
                <w:lang w:eastAsia="uk-UA"/>
              </w:rPr>
              <w:t>3.Гуртожитки</w:t>
            </w:r>
          </w:p>
        </w:tc>
      </w:tr>
      <w:tr>
        <w:trPr/>
        <w:tc>
          <w:tcPr>
            <w:tcW w:w="514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11</w:t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без душових, водопровід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60,0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12</w:t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із загальними душовими, з ЦГВ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80,0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 те ж саме, при відсутності гарячої води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110,0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vMerge w:val="restart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13</w:t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із загальними кухнями та блоками душових при житлових кімнатах у кожній секції будинку, з ЦГВ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120,0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  <w:tr>
        <w:trPr/>
        <w:tc>
          <w:tcPr>
            <w:tcW w:w="514" w:type="dxa"/>
            <w:vMerge w:val="continue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6135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- те ж саме, при відсутності гарячої води</w:t>
            </w:r>
          </w:p>
        </w:tc>
        <w:tc>
          <w:tcPr>
            <w:tcW w:w="284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160,0</w:t>
            </w:r>
          </w:p>
        </w:tc>
        <w:tc>
          <w:tcPr>
            <w:tcW w:w="140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uk-U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uk-U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br/>
      </w: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Примітка до додатку №1:</w:t>
      </w:r>
      <w:r>
        <w:rPr>
          <w:rFonts w:eastAsia="Times New Roman" w:cs="Times New Roman" w:ascii="Verdana" w:hAnsi="Verdana"/>
          <w:color w:val="000000"/>
          <w:sz w:val="17"/>
          <w:szCs w:val="17"/>
          <w:shd w:fill="FAFAFA" w:val="clear"/>
          <w:lang w:eastAsia="uk-UA"/>
        </w:rPr>
        <w:t> </w:t>
      </w: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br/>
      </w: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У випадку, коли за адресою споживача відсутні чи незареєстровані належним чином індивідуальні водолічильники і в його помешканні не зареєстровано (не проживає) жодної особи, нарахування за послуги централізованого постачання холодної води та водовідведення проводити на 1 особу.</w:t>
      </w:r>
      <w:r>
        <w:rPr>
          <w:rFonts w:eastAsia="Times New Roman" w:cs="Times New Roman" w:ascii="Verdana" w:hAnsi="Verdana"/>
          <w:color w:val="000000"/>
          <w:sz w:val="17"/>
          <w:szCs w:val="17"/>
          <w:shd w:fill="FAFAFA" w:val="clear"/>
          <w:lang w:eastAsia="uk-UA"/>
        </w:rPr>
        <w:t> </w:t>
      </w: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br/>
        <w:br/>
      </w:r>
      <w:r>
        <w:rPr>
          <w:rFonts w:eastAsia="Times New Roman" w:cs="Times New Roman" w:ascii="Verdana" w:hAnsi="Verdana"/>
          <w:color w:val="000000"/>
          <w:sz w:val="17"/>
          <w:szCs w:val="17"/>
          <w:shd w:fill="FAFAFA" w:val="clear"/>
          <w:lang w:eastAsia="uk-UA"/>
        </w:rPr>
        <w:t>Додаток №2 </w:t>
      </w: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br/>
      </w:r>
      <w:r>
        <w:rPr>
          <w:rFonts w:eastAsia="Times New Roman" w:cs="Times New Roman" w:ascii="Verdana" w:hAnsi="Verdana"/>
          <w:color w:val="000000"/>
          <w:sz w:val="17"/>
          <w:szCs w:val="17"/>
          <w:shd w:fill="FAFAFA" w:val="clear"/>
          <w:lang w:eastAsia="uk-UA"/>
        </w:rPr>
        <w:t>НОРМИ ВИТРАТ ВОДИ НА ПОЛИВАННЯ ГАЗОНІВ, ПРИСАДИБНИХ ДІЛЯНОК, ТЕПЛИЦЬ </w:t>
      </w: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br/>
      </w:r>
    </w:p>
    <w:p>
      <w:pPr>
        <w:pStyle w:val="Normal"/>
        <w:numPr>
          <w:ilvl w:val="0"/>
          <w:numId w:val="1"/>
        </w:numPr>
        <w:spacing w:lineRule="auto" w:line="240" w:beforeAutospacing="1" w:afterAutospacing="1"/>
        <w:rPr>
          <w:rFonts w:ascii="Verdana" w:hAnsi="Verdana" w:eastAsia="Times New Roman" w:cs="Times New Roman"/>
          <w:color w:val="000000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t>Згідно з чинними будівельними нормами та правилами ДБН В.2.5-64:2012 «Внутрішній водопровід та каналізація» /додаток А/ норми витрати питної води на поливання встановлюються:</w:t>
      </w:r>
    </w:p>
    <w:p>
      <w:pPr>
        <w:pStyle w:val="Normal"/>
        <w:spacing w:lineRule="auto" w:line="240" w:before="0" w:after="0"/>
        <w:ind w:left="720" w:hanging="0"/>
        <w:rPr>
          <w:rFonts w:ascii="Verdana" w:hAnsi="Verdana" w:eastAsia="Times New Roman" w:cs="Times New Roman"/>
          <w:color w:val="000000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t>- на поливання насаджень на присадибних ділянках – 6,0 л/м2 ; </w:t>
        <w:br/>
        <w:t>- на поливання посадок у парниках та теплицях – 15,0 л/м2.</w:t>
      </w:r>
    </w:p>
    <w:p>
      <w:pPr>
        <w:pStyle w:val="Normal"/>
        <w:numPr>
          <w:ilvl w:val="0"/>
          <w:numId w:val="1"/>
        </w:numPr>
        <w:spacing w:lineRule="auto" w:line="240" w:beforeAutospacing="1" w:afterAutospacing="1"/>
        <w:rPr>
          <w:rFonts w:ascii="Verdana" w:hAnsi="Verdana" w:eastAsia="Times New Roman" w:cs="Times New Roman"/>
          <w:color w:val="000000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t>Норми витрат води на поливання встановлені з розрахунку – одне поливання на добу.</w:t>
      </w:r>
    </w:p>
    <w:p>
      <w:pPr>
        <w:pStyle w:val="Normal"/>
        <w:numPr>
          <w:ilvl w:val="0"/>
          <w:numId w:val="1"/>
        </w:numPr>
        <w:spacing w:lineRule="auto" w:line="240" w:beforeAutospacing="1" w:afterAutospacing="1"/>
        <w:rPr>
          <w:rFonts w:ascii="Verdana" w:hAnsi="Verdana" w:eastAsia="Times New Roman" w:cs="Times New Roman"/>
          <w:color w:val="000000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t>Планова кількість днів поливів посадок у відкритому ґрунті за рік встановлюється за даними Гідрометеорологічного довідника «Клімат СРСР» для Тернопільської області – не більше 138 днів на рік. Період застосування норми на поливання насаджень на присадибних ділянках – з квітня по серпень.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Примітка:</w:t>
      </w:r>
      <w:r>
        <w:rPr>
          <w:rFonts w:eastAsia="Times New Roman" w:cs="Times New Roman" w:ascii="Verdana" w:hAnsi="Verdana"/>
          <w:color w:val="000000"/>
          <w:sz w:val="17"/>
          <w:szCs w:val="17"/>
          <w:shd w:fill="FAFAFA" w:val="clear"/>
          <w:lang w:eastAsia="uk-UA"/>
        </w:rPr>
        <w:t> </w:t>
      </w: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br/>
      </w: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Нарахування за поливання насаджень присадибних ділянок проводити у недощові дні на підставі довідки Тернопільського обласного гідрометеорологічного центру.</w:t>
      </w:r>
      <w:r>
        <w:rPr>
          <w:rFonts w:eastAsia="Times New Roman" w:cs="Times New Roman" w:ascii="Verdana" w:hAnsi="Verdana"/>
          <w:color w:val="000000"/>
          <w:sz w:val="17"/>
          <w:szCs w:val="17"/>
          <w:shd w:fill="FAFAFA" w:val="clear"/>
          <w:lang w:eastAsia="uk-UA"/>
        </w:rPr>
        <w:t> </w:t>
      </w: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br/>
        <w:br/>
      </w:r>
    </w:p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Норми споживання питної води населенням,</w:t>
      </w:r>
    </w:p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затверджені рішенням виконкому Тернопільської міської ради №179 від 23.02.2000р.</w:t>
      </w:r>
    </w:p>
    <w:p>
      <w:pPr>
        <w:pStyle w:val="Normal"/>
        <w:spacing w:lineRule="auto" w:line="240" w:before="0" w:after="0"/>
        <w:jc w:val="center"/>
        <w:rPr>
          <w:rFonts w:ascii="Verdana" w:hAnsi="Verdana" w:eastAsia="Times New Roman" w:cs="Times New Roman"/>
          <w:b/>
          <w:b/>
          <w:bCs/>
          <w:color w:val="3276E3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b/>
          <w:bCs/>
          <w:color w:val="3276E3"/>
          <w:sz w:val="17"/>
          <w:szCs w:val="17"/>
          <w:lang w:eastAsia="uk-UA"/>
        </w:rPr>
        <w:t>(втратили чинність, див. Законодавство)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uk-UA"/>
        </w:rPr>
      </w:r>
    </w:p>
    <w:tbl>
      <w:tblPr>
        <w:tblW w:w="5000" w:type="pct"/>
        <w:jc w:val="left"/>
        <w:tblInd w:w="0" w:type="dxa"/>
        <w:tblBorders/>
        <w:tblCellMar>
          <w:top w:w="45" w:type="dxa"/>
          <w:left w:w="45" w:type="dxa"/>
          <w:bottom w:w="45" w:type="dxa"/>
          <w:right w:w="45" w:type="dxa"/>
        </w:tblCellMar>
        <w:tblLook w:firstRow="1" w:noVBand="1" w:lastRow="0" w:firstColumn="1" w:lastColumn="0" w:noHBand="0" w:val="04a0"/>
      </w:tblPr>
      <w:tblGrid>
        <w:gridCol w:w="519"/>
        <w:gridCol w:w="6198"/>
        <w:gridCol w:w="1452"/>
        <w:gridCol w:w="1469"/>
      </w:tblGrid>
      <w:tr>
        <w:trPr/>
        <w:tc>
          <w:tcPr>
            <w:tcW w:w="519" w:type="dxa"/>
            <w:vMerge w:val="restart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№</w:t>
            </w:r>
          </w:p>
        </w:tc>
        <w:tc>
          <w:tcPr>
            <w:tcW w:w="6198" w:type="dxa"/>
            <w:vMerge w:val="restart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Назва норми</w:t>
            </w:r>
          </w:p>
        </w:tc>
        <w:tc>
          <w:tcPr>
            <w:tcW w:w="2921" w:type="dxa"/>
            <w:gridSpan w:val="2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Середньодобова норма на 1 мешканця, л/доба</w:t>
            </w:r>
          </w:p>
        </w:tc>
      </w:tr>
      <w:tr>
        <w:trPr/>
        <w:tc>
          <w:tcPr>
            <w:tcW w:w="519" w:type="dxa"/>
            <w:vMerge w:val="continue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6198" w:type="dxa"/>
            <w:vMerge w:val="continue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</w:r>
          </w:p>
        </w:tc>
        <w:tc>
          <w:tcPr>
            <w:tcW w:w="1452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водо- постачання</w:t>
            </w:r>
          </w:p>
        </w:tc>
        <w:tc>
          <w:tcPr>
            <w:tcW w:w="1469" w:type="dxa"/>
            <w:tcBorders/>
            <w:shd w:color="auto" w:fill="D3DCE3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b/>
                <w:bCs/>
                <w:color w:val="000000"/>
                <w:sz w:val="17"/>
                <w:szCs w:val="17"/>
                <w:lang w:eastAsia="uk-UA"/>
              </w:rPr>
              <w:t>водо- відведення</w:t>
            </w:r>
          </w:p>
        </w:tc>
      </w:tr>
      <w:tr>
        <w:trPr/>
        <w:tc>
          <w:tcPr>
            <w:tcW w:w="51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619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Водопровід з централізованим гарячим водопостачанням, ванною 1,5м-1,7м</w:t>
            </w:r>
          </w:p>
        </w:tc>
        <w:tc>
          <w:tcPr>
            <w:tcW w:w="145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160.00</w:t>
            </w:r>
          </w:p>
        </w:tc>
        <w:tc>
          <w:tcPr>
            <w:tcW w:w="146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160.00</w:t>
            </w:r>
          </w:p>
        </w:tc>
      </w:tr>
      <w:tr>
        <w:trPr/>
        <w:tc>
          <w:tcPr>
            <w:tcW w:w="51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619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Водопровід з газовим водонагрiвачем (колонка)</w:t>
            </w:r>
          </w:p>
        </w:tc>
        <w:tc>
          <w:tcPr>
            <w:tcW w:w="145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231.00</w:t>
            </w:r>
          </w:p>
        </w:tc>
        <w:tc>
          <w:tcPr>
            <w:tcW w:w="146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231.00</w:t>
            </w:r>
          </w:p>
        </w:tc>
      </w:tr>
      <w:tr>
        <w:trPr/>
        <w:tc>
          <w:tcPr>
            <w:tcW w:w="51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619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Водопровідний кран в будинку (квартирі)</w:t>
            </w:r>
          </w:p>
        </w:tc>
        <w:tc>
          <w:tcPr>
            <w:tcW w:w="145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95.00</w:t>
            </w:r>
          </w:p>
        </w:tc>
        <w:tc>
          <w:tcPr>
            <w:tcW w:w="146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95.00</w:t>
            </w:r>
          </w:p>
        </w:tc>
      </w:tr>
      <w:tr>
        <w:trPr/>
        <w:tc>
          <w:tcPr>
            <w:tcW w:w="51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619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Кран в дворі (з каналізацією)</w:t>
            </w:r>
          </w:p>
        </w:tc>
        <w:tc>
          <w:tcPr>
            <w:tcW w:w="145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80.00</w:t>
            </w:r>
          </w:p>
        </w:tc>
        <w:tc>
          <w:tcPr>
            <w:tcW w:w="146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80.00</w:t>
            </w:r>
          </w:p>
        </w:tc>
      </w:tr>
      <w:tr>
        <w:trPr/>
        <w:tc>
          <w:tcPr>
            <w:tcW w:w="51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619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Вулична колонка (з каналізацією)</w:t>
            </w:r>
          </w:p>
        </w:tc>
        <w:tc>
          <w:tcPr>
            <w:tcW w:w="145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50.00</w:t>
            </w:r>
          </w:p>
        </w:tc>
        <w:tc>
          <w:tcPr>
            <w:tcW w:w="146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50.00</w:t>
            </w:r>
          </w:p>
        </w:tc>
      </w:tr>
      <w:tr>
        <w:trPr/>
        <w:tc>
          <w:tcPr>
            <w:tcW w:w="51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</w:t>
            </w:r>
          </w:p>
        </w:tc>
        <w:tc>
          <w:tcPr>
            <w:tcW w:w="619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Висотні будинки понад 12 поверхів</w:t>
            </w:r>
          </w:p>
        </w:tc>
        <w:tc>
          <w:tcPr>
            <w:tcW w:w="145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245.00</w:t>
            </w:r>
          </w:p>
        </w:tc>
        <w:tc>
          <w:tcPr>
            <w:tcW w:w="146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245.00</w:t>
            </w:r>
          </w:p>
        </w:tc>
      </w:tr>
      <w:tr>
        <w:trPr/>
        <w:tc>
          <w:tcPr>
            <w:tcW w:w="51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7</w:t>
            </w:r>
          </w:p>
        </w:tc>
        <w:tc>
          <w:tcPr>
            <w:tcW w:w="619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Квартири iз сидячими ваннами до 1,5м</w:t>
            </w:r>
          </w:p>
        </w:tc>
        <w:tc>
          <w:tcPr>
            <w:tcW w:w="145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140.00</w:t>
            </w:r>
          </w:p>
        </w:tc>
        <w:tc>
          <w:tcPr>
            <w:tcW w:w="146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140.00</w:t>
            </w:r>
          </w:p>
        </w:tc>
      </w:tr>
      <w:tr>
        <w:trPr/>
        <w:tc>
          <w:tcPr>
            <w:tcW w:w="51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10</w:t>
            </w:r>
          </w:p>
        </w:tc>
        <w:tc>
          <w:tcPr>
            <w:tcW w:w="619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Гуртожитки з загальними душовими</w:t>
            </w:r>
          </w:p>
        </w:tc>
        <w:tc>
          <w:tcPr>
            <w:tcW w:w="145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40.00</w:t>
            </w:r>
          </w:p>
        </w:tc>
        <w:tc>
          <w:tcPr>
            <w:tcW w:w="146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40.00</w:t>
            </w:r>
          </w:p>
        </w:tc>
      </w:tr>
      <w:tr>
        <w:trPr/>
        <w:tc>
          <w:tcPr>
            <w:tcW w:w="51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11</w:t>
            </w:r>
          </w:p>
        </w:tc>
        <w:tc>
          <w:tcPr>
            <w:tcW w:w="6198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Гуртожитки з блоками душових</w:t>
            </w:r>
          </w:p>
        </w:tc>
        <w:tc>
          <w:tcPr>
            <w:tcW w:w="1452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60.00</w:t>
            </w:r>
          </w:p>
        </w:tc>
        <w:tc>
          <w:tcPr>
            <w:tcW w:w="1469" w:type="dxa"/>
            <w:tcBorders/>
            <w:shd w:color="auto" w:fill="F0F0F0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60.00</w:t>
            </w:r>
          </w:p>
        </w:tc>
      </w:tr>
      <w:tr>
        <w:trPr/>
        <w:tc>
          <w:tcPr>
            <w:tcW w:w="51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12</w:t>
            </w:r>
          </w:p>
        </w:tc>
        <w:tc>
          <w:tcPr>
            <w:tcW w:w="6198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Гуртожитки без душових</w:t>
            </w:r>
          </w:p>
        </w:tc>
        <w:tc>
          <w:tcPr>
            <w:tcW w:w="1452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60.00</w:t>
            </w:r>
          </w:p>
        </w:tc>
        <w:tc>
          <w:tcPr>
            <w:tcW w:w="1469" w:type="dxa"/>
            <w:tcBorders/>
            <w:shd w:color="auto" w:fill="E3E3E3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Verdana" w:hAnsi="Verdana" w:eastAsia="Times New Roman" w:cs="Times New Roman"/>
                <w:color w:val="000000"/>
                <w:sz w:val="17"/>
                <w:szCs w:val="17"/>
                <w:lang w:eastAsia="uk-UA"/>
              </w:rPr>
            </w:pPr>
            <w:r>
              <w:rPr>
                <w:rFonts w:eastAsia="Times New Roman" w:cs="Times New Roman" w:ascii="Verdana" w:hAnsi="Verdana"/>
                <w:color w:val="000000"/>
                <w:sz w:val="17"/>
                <w:szCs w:val="17"/>
                <w:lang w:eastAsia="uk-UA"/>
              </w:rPr>
              <w:t>60.00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 w:ascii="Verdana" w:hAnsi="Verdana"/>
          <w:color w:val="000000"/>
          <w:sz w:val="17"/>
          <w:szCs w:val="17"/>
          <w:lang w:eastAsia="uk-UA"/>
        </w:rPr>
        <w:br/>
      </w: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Примітка:</w:t>
      </w:r>
    </w:p>
    <w:p>
      <w:pPr>
        <w:pStyle w:val="Normal"/>
        <w:numPr>
          <w:ilvl w:val="0"/>
          <w:numId w:val="2"/>
        </w:numPr>
        <w:spacing w:lineRule="auto" w:line="240" w:beforeAutospacing="1" w:afterAutospacing="1"/>
        <w:rPr>
          <w:rFonts w:ascii="Verdana" w:hAnsi="Verdana" w:eastAsia="Times New Roman" w:cs="Times New Roman"/>
          <w:i/>
          <w:i/>
          <w:iCs/>
          <w:color w:val="000000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у серпні, вересні місяцях застосовується коефіцієнт 1,1 до норми</w:t>
      </w:r>
    </w:p>
    <w:p>
      <w:pPr>
        <w:pStyle w:val="Normal"/>
        <w:numPr>
          <w:ilvl w:val="0"/>
          <w:numId w:val="2"/>
        </w:numPr>
        <w:spacing w:lineRule="auto" w:line="240" w:beforeAutospacing="1" w:afterAutospacing="1"/>
        <w:rPr>
          <w:rFonts w:ascii="Verdana" w:hAnsi="Verdana" w:eastAsia="Times New Roman" w:cs="Times New Roman"/>
          <w:i/>
          <w:i/>
          <w:iCs/>
          <w:color w:val="000000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у випадку перерв у централізованому гарячому водопостачанні понад 3 доби застосовується коефіцієнт 1,4 до норми</w:t>
      </w:r>
    </w:p>
    <w:p>
      <w:pPr>
        <w:pStyle w:val="Normal"/>
        <w:numPr>
          <w:ilvl w:val="0"/>
          <w:numId w:val="2"/>
        </w:numPr>
        <w:spacing w:lineRule="auto" w:line="240" w:beforeAutospacing="1" w:afterAutospacing="1"/>
        <w:rPr>
          <w:rFonts w:ascii="Verdana" w:hAnsi="Verdana" w:eastAsia="Times New Roman" w:cs="Times New Roman"/>
          <w:i/>
          <w:i/>
          <w:iCs/>
          <w:color w:val="000000"/>
          <w:sz w:val="17"/>
          <w:szCs w:val="17"/>
          <w:lang w:eastAsia="uk-UA"/>
        </w:rPr>
      </w:pP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норма на полив насаджень присадибних ділянок складає 4л/м</w:t>
      </w: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vertAlign w:val="superscript"/>
          <w:lang w:eastAsia="uk-UA"/>
        </w:rPr>
        <w:t>2</w:t>
      </w:r>
      <w:r>
        <w:rPr>
          <w:rFonts w:eastAsia="Times New Roman" w:cs="Times New Roman" w:ascii="Verdana" w:hAnsi="Verdana"/>
          <w:i/>
          <w:iCs/>
          <w:color w:val="000000"/>
          <w:sz w:val="17"/>
          <w:szCs w:val="17"/>
          <w:lang w:eastAsia="uk-UA"/>
        </w:rPr>
        <w:t>. Застосовується в травні, червні та липні місяцях (рішення виконкому Тернопільської міськради від 25.05.2005р. №609)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sans-serif"/>
    <w:charset w:val="cc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6a57d3"/>
    <w:rPr/>
  </w:style>
  <w:style w:type="character" w:styleId="Strong">
    <w:name w:val="Strong"/>
    <w:basedOn w:val="DefaultParagraphFont"/>
    <w:uiPriority w:val="22"/>
    <w:qFormat/>
    <w:rsid w:val="006a57d3"/>
    <w:rPr>
      <w:b/>
      <w:bCs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Arial Unicode M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 Unicode M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Application>LibreOffice/5.2.2.2$Windows_X86_64 LibreOffice_project/8f96e87c890bf8fa77463cd4b640a2312823f3ad</Application>
  <Pages>6</Pages>
  <Words>1782</Words>
  <Characters>11128</Characters>
  <CharactersWithSpaces>12457</CharactersWithSpaces>
  <Paragraphs>467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2015-03-23T16:36:00Z</dcterms:created>
  <dc:creator>Андрій Біловус</dc:creator>
  <dc:description/>
  <dc:language>uk-UA</dc:language>
  <cp:lastModifiedBy/>
  <dcterms:modified xsi:type="dcterms:W3CDTF">2017-06-30T13:05:58Z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