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7D3" w:rsidRPr="006A57D3" w:rsidRDefault="006A57D3" w:rsidP="006A57D3">
      <w:pPr>
        <w:jc w:val="center"/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</w:pPr>
      <w:bookmarkStart w:id="0" w:name="_GoBack"/>
      <w:bookmarkEnd w:id="0"/>
      <w:r>
        <w:tab/>
      </w:r>
      <w:r w:rsidRPr="006A57D3"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  <w:t>Тарифи на водопостачання та водовідведення</w:t>
      </w:r>
    </w:p>
    <w:p w:rsidR="006A57D3" w:rsidRPr="006A57D3" w:rsidRDefault="006A57D3" w:rsidP="006A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shd w:val="clear" w:color="auto" w:fill="F3F3F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51"/>
        <w:gridCol w:w="1277"/>
        <w:gridCol w:w="1232"/>
        <w:gridCol w:w="1232"/>
        <w:gridCol w:w="1247"/>
      </w:tblGrid>
      <w:tr w:rsidR="006A57D3" w:rsidRPr="006A57D3" w:rsidTr="006A57D3">
        <w:trPr>
          <w:tblCellSpacing w:w="15" w:type="dxa"/>
        </w:trPr>
        <w:tc>
          <w:tcPr>
            <w:tcW w:w="24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60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6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 води з ПДВ, грн</w:t>
            </w:r>
          </w:p>
        </w:tc>
        <w:tc>
          <w:tcPr>
            <w:tcW w:w="6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 стоків з ПДВ, грн</w:t>
            </w:r>
          </w:p>
        </w:tc>
        <w:tc>
          <w:tcPr>
            <w:tcW w:w="6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з ПДВ, грн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сфері комунальних послуг від 23.05.2014р. №560</w:t>
            </w:r>
          </w:p>
        </w:tc>
        <w:tc>
          <w:tcPr>
            <w:tcW w:w="0" w:type="auto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01.07.2014р.</w:t>
            </w:r>
          </w:p>
        </w:tc>
        <w:tc>
          <w:tcPr>
            <w:tcW w:w="0" w:type="auto"/>
            <w:gridSpan w:val="3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всіх груп споживачів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3,168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4,356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7,524</w:t>
            </w:r>
          </w:p>
        </w:tc>
      </w:tr>
    </w:tbl>
    <w:p w:rsidR="006A57D3" w:rsidRPr="006A57D3" w:rsidRDefault="006A57D3" w:rsidP="006A57D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  <w:t>Тарифи на водопостачання та водовідведення</w:t>
      </w:r>
    </w:p>
    <w:p w:rsidR="006A57D3" w:rsidRPr="006A57D3" w:rsidRDefault="006A57D3" w:rsidP="006A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shd w:val="clear" w:color="auto" w:fill="F3F3F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51"/>
        <w:gridCol w:w="1277"/>
        <w:gridCol w:w="1232"/>
        <w:gridCol w:w="1232"/>
        <w:gridCol w:w="1247"/>
      </w:tblGrid>
      <w:tr w:rsidR="006A57D3" w:rsidRPr="006A57D3" w:rsidTr="006A57D3">
        <w:trPr>
          <w:tblCellSpacing w:w="15" w:type="dxa"/>
        </w:trPr>
        <w:tc>
          <w:tcPr>
            <w:tcW w:w="24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60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6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 води без ПДВ, грн</w:t>
            </w:r>
          </w:p>
        </w:tc>
        <w:tc>
          <w:tcPr>
            <w:tcW w:w="6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 стоків без ПДВ, грн</w:t>
            </w:r>
          </w:p>
        </w:tc>
        <w:tc>
          <w:tcPr>
            <w:tcW w:w="6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без ПДВ, грн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сфері комунальних послуг від 22.11.2013р. №233</w:t>
            </w:r>
          </w:p>
        </w:tc>
        <w:tc>
          <w:tcPr>
            <w:tcW w:w="0" w:type="auto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01.01.2014р.</w:t>
            </w:r>
          </w:p>
        </w:tc>
        <w:tc>
          <w:tcPr>
            <w:tcW w:w="0" w:type="auto"/>
            <w:gridSpan w:val="3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бюджетних установ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2,58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3,56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6,14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інших споживачів(крім населення)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2,58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3,56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6,14</w:t>
            </w:r>
          </w:p>
        </w:tc>
      </w:tr>
    </w:tbl>
    <w:p w:rsidR="006A57D3" w:rsidRPr="006A57D3" w:rsidRDefault="006A57D3" w:rsidP="006A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57D3" w:rsidRPr="006A57D3" w:rsidRDefault="006A57D3" w:rsidP="006A57D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  <w:t>Тарифи на водопостачання та водовідведення</w:t>
      </w:r>
    </w:p>
    <w:p w:rsidR="006A57D3" w:rsidRPr="006A57D3" w:rsidRDefault="006A57D3" w:rsidP="006A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shd w:val="clear" w:color="auto" w:fill="F3F3F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51"/>
        <w:gridCol w:w="1277"/>
        <w:gridCol w:w="1232"/>
        <w:gridCol w:w="1232"/>
        <w:gridCol w:w="1247"/>
      </w:tblGrid>
      <w:tr w:rsidR="006A57D3" w:rsidRPr="006A57D3" w:rsidTr="006A57D3">
        <w:trPr>
          <w:tblCellSpacing w:w="15" w:type="dxa"/>
        </w:trPr>
        <w:tc>
          <w:tcPr>
            <w:tcW w:w="24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Нормативний документ</w:t>
            </w:r>
          </w:p>
        </w:tc>
        <w:tc>
          <w:tcPr>
            <w:tcW w:w="60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Введення в дію</w:t>
            </w:r>
          </w:p>
        </w:tc>
        <w:tc>
          <w:tcPr>
            <w:tcW w:w="6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 води з ПДВ, грн</w:t>
            </w:r>
          </w:p>
        </w:tc>
        <w:tc>
          <w:tcPr>
            <w:tcW w:w="6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 стоків з ПДВ, грн</w:t>
            </w:r>
          </w:p>
        </w:tc>
        <w:tc>
          <w:tcPr>
            <w:tcW w:w="6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Вартість 1м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vertAlign w:val="superscript"/>
                <w:lang w:eastAsia="uk-UA"/>
              </w:rPr>
              <w:t>3</w:t>
            </w: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 води і стоків з ПДВ, грн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Постанова Національної комісії, що здійснює державне регулювання у сфері комунальних послуг від 13.09.2013р. №161</w:t>
            </w:r>
          </w:p>
        </w:tc>
        <w:tc>
          <w:tcPr>
            <w:tcW w:w="0" w:type="auto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01.10.2013р.</w:t>
            </w:r>
          </w:p>
        </w:tc>
        <w:tc>
          <w:tcPr>
            <w:tcW w:w="0" w:type="auto"/>
            <w:gridSpan w:val="3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бюджетних установ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2,772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3,672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6,444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інших споживачів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3,012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3,972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6,984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КП "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Тернопільміськтеплокомуненерго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"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2,604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3,348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5,952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Постанова НКРРКП України від 10.02.2012р. №99</w:t>
            </w:r>
          </w:p>
        </w:tc>
        <w:tc>
          <w:tcPr>
            <w:tcW w:w="0" w:type="auto"/>
            <w:vMerge w:val="restar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01.03.2012р.</w:t>
            </w:r>
          </w:p>
        </w:tc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  <w:proofErr w:type="spellEnd"/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2,40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3,084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5,484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населення сіл на ділянці водогону від ВНС5 до ВНС4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1,608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1,608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населення інших сіл Тернопільської області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2,256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3,024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5,280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потреб ОСББ, ЖБК, ТІЗ, ЖЕК та інших організацій, які розраховуються відповідно до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загальнобудинкових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 лічильників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2,244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2,988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5,232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КП "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Тернопільміськтеплокомуненерго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" ТМР на виробництво гарячої води та опалення для потреб населення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2,40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3,084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5,484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Постанова НКРРКП України від 30.09.2011р. №177</w:t>
            </w:r>
          </w:p>
        </w:tc>
        <w:tc>
          <w:tcPr>
            <w:tcW w:w="0" w:type="auto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01.10.2011р.</w:t>
            </w:r>
          </w:p>
        </w:tc>
        <w:tc>
          <w:tcPr>
            <w:tcW w:w="0" w:type="auto"/>
            <w:gridSpan w:val="3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бюджетних установ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2,58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3,396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5,976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інших споживачів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3,012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3,972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6,984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КП "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Тернопільміськтеплокомуненерго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"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2,412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3,072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5,484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Постанова НКРЕ України від 20.01.2011р. №64</w:t>
            </w:r>
          </w:p>
        </w:tc>
        <w:tc>
          <w:tcPr>
            <w:tcW w:w="0" w:type="auto"/>
            <w:vMerge w:val="restar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01.02.2011р.</w:t>
            </w:r>
          </w:p>
        </w:tc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  <w:proofErr w:type="spellEnd"/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2,28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2,904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5,184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населення сіл на дільниці водогону від ВНС-5 до ВНС-4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1,452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1,452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населення інших сіл Тернопільської області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2,10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2,856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4,956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lastRenderedPageBreak/>
              <w:t>для виконавців послуг водопостачання та водовідведення для населення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2,124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2,784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4,908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Рішення виконавчого комітету Тернопільської міськради №285 від 25.02.2010р.</w:t>
            </w:r>
          </w:p>
        </w:tc>
        <w:tc>
          <w:tcPr>
            <w:tcW w:w="0" w:type="auto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01.03.2010р.</w:t>
            </w:r>
          </w:p>
        </w:tc>
        <w:tc>
          <w:tcPr>
            <w:tcW w:w="0" w:type="auto"/>
            <w:gridSpan w:val="3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  <w:proofErr w:type="spellEnd"/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2,20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2,80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5,00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, для ОСББ, ЖБК, ТІЗ, ЖЕК та інших організацій при умові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укладання</w:t>
            </w:r>
            <w:r w:rsidRPr="006A57D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>двосторонього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 договору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1,95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2,55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4,50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, для ОСББ, ЖБК, ТІЗ, ЖЕК та інших організацій при умові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укладання</w:t>
            </w:r>
            <w:r w:rsidRPr="006A57D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>тристоронього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 договору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2,12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2,78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4,90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сіл Гаї Великі, Петриків, Гаї Чумакові, Гаї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Гречинські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, Біла (вул. Стефаника, Набережна, Кос-Анатольського, Нова, Миру, частина Крушельницької)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2,10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2,10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сіл Гаї Великі, Петриків, Гаї Чумакові, Гаї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Гречинські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, Біла (вул. Стефаника, Набережна, Кос-Анатольського, Нова, Миру, частина Крушельницької) </w:t>
            </w:r>
            <w:r w:rsidRPr="006A57D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 xml:space="preserve">при умові проведення розрахунків за показами </w:t>
            </w:r>
            <w:proofErr w:type="spellStart"/>
            <w:r w:rsidRPr="006A57D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>загальногрупових</w:t>
            </w:r>
            <w:proofErr w:type="spellEnd"/>
            <w:r w:rsidRPr="006A57D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 xml:space="preserve"> лічильників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1,90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1,90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сіл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Плотича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, Гаї Шевченківські, Біла (всі інші вулиці не зазначені вище та частина Крушельницької),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Івачів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 Долішній (понад норму)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1,45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2,10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сіл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Плотича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, Гаї Шевченківські, Біла (всі інші вулиці не зазначені вище та частина Крушельницької),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Івачів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 Долішній (понад норму) </w:t>
            </w:r>
            <w:r w:rsidRPr="006A57D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 xml:space="preserve">при умові проведення розрахунків за показами </w:t>
            </w:r>
            <w:proofErr w:type="spellStart"/>
            <w:r w:rsidRPr="006A57D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>загальногрупових</w:t>
            </w:r>
            <w:proofErr w:type="spellEnd"/>
            <w:r w:rsidRPr="006A57D3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17"/>
                <w:szCs w:val="17"/>
                <w:lang w:eastAsia="uk-UA"/>
              </w:rPr>
              <w:t xml:space="preserve"> лічильників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1,25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1,25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села Гаї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Ходорівські</w:t>
            </w:r>
            <w:proofErr w:type="spellEnd"/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2,75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2,75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№2691 від 30.12.2008р.</w:t>
            </w:r>
          </w:p>
        </w:tc>
        <w:tc>
          <w:tcPr>
            <w:tcW w:w="0" w:type="auto"/>
            <w:vMerge w:val="restar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01.01.2009р.</w:t>
            </w:r>
          </w:p>
        </w:tc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  <w:proofErr w:type="spellEnd"/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1,78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2,22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4,00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сіл Гаї Великі, Петриків, Гаї Чумакові, Гаї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Гречинські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, Біла (вул. Стефаника, Набережна, Кос-Анатольського, Нова, Миру, частина Крушельницької)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1,69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1,69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сіл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Плотича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, Гаї Шевченківські, Біла (всі інші вулиці не зазначені вище та частина Крушельницької),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Івачів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 Долішній (понад норму)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1,14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1,14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села Гаї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Ходорівські</w:t>
            </w:r>
            <w:proofErr w:type="spellEnd"/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2,19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2,19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№2019 від 24.12.2007р.</w:t>
            </w:r>
          </w:p>
        </w:tc>
        <w:tc>
          <w:tcPr>
            <w:tcW w:w="0" w:type="auto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01.01.2008р.</w:t>
            </w:r>
          </w:p>
        </w:tc>
        <w:tc>
          <w:tcPr>
            <w:tcW w:w="0" w:type="auto"/>
            <w:gridSpan w:val="3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  <w:proofErr w:type="spellEnd"/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1,37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1,63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3,00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сіл Гаї Великі, Петриків, Гаї Чумакові, Гаї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Гречинські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, Біла (вул. Стефаника, Набережна, Кос-Анатольського, Нова, Миру, частина Крушельницької)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1,28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1,28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сіл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Плотича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, Гаї Шевченківські, Біла (всі інші вулиці не зазначені вище та частина Крушельницької),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Івачів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 Долішній (понад норму)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0,97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0,97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села Гаї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Ходорівські</w:t>
            </w:r>
            <w:proofErr w:type="spellEnd"/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1,62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1,62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№872 від 10.07.2006р.</w:t>
            </w:r>
          </w:p>
        </w:tc>
        <w:tc>
          <w:tcPr>
            <w:tcW w:w="0" w:type="auto"/>
            <w:vMerge w:val="restar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01.08.2006р.</w:t>
            </w:r>
          </w:p>
        </w:tc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  <w:proofErr w:type="spellEnd"/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1,08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1,20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2,28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сіл Гаї Великі, Петриків, Гаї Чумакові, Гаї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Гречинські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, Біла (вул. Стефаника, Набережна, Кос-Анатольського, Нова, Миру, частина Крушельницької)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1,06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1,06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lastRenderedPageBreak/>
              <w:t xml:space="preserve">для сіл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Плотича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, Гаї Шевченківські, Біла (всі інші вулиці не зазначені вище та частина Крушельницької),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Івачів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 Долішній (понад норму)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0,69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0,69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села Гаї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Ходорівські</w:t>
            </w:r>
            <w:proofErr w:type="spellEnd"/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1,18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1,18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№570 від 18.05.2005р.</w:t>
            </w:r>
          </w:p>
        </w:tc>
        <w:tc>
          <w:tcPr>
            <w:tcW w:w="0" w:type="auto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01.07.2005р.</w:t>
            </w:r>
          </w:p>
        </w:tc>
        <w:tc>
          <w:tcPr>
            <w:tcW w:w="0" w:type="auto"/>
            <w:gridSpan w:val="3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м.Тернопіль</w:t>
            </w:r>
            <w:proofErr w:type="spellEnd"/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0,852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0,912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1,764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сіл Гаї Великі, Петриків, Гаї Чумакові, Гаї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Гречинські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, Біла (вул. Стефаника, Набережна, Кос-Анатольського, Нова, Миру, частина Крушельницької)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0,84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0,84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сіл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Плотича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, Гаї Шевченківські, Біла (всі інші вулиці не зазначені вище та частина Крушельницької),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Івачів</w:t>
            </w:r>
            <w:proofErr w:type="spellEnd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 Долішній (понад норму)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0,66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0,66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 xml:space="preserve">для села Гаї </w:t>
            </w:r>
            <w:proofErr w:type="spellStart"/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Ходорівські</w:t>
            </w:r>
            <w:proofErr w:type="spellEnd"/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0,90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0,90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№475 від 14.05.2003р.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29.05.2003р.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0,492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0,516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1,008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№337 від 03.04.2003р.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10.04.2003р.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0,492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0,516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1,008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№411 від 15.05.2002р.</w:t>
            </w:r>
          </w:p>
        </w:tc>
        <w:tc>
          <w:tcPr>
            <w:tcW w:w="0" w:type="auto"/>
            <w:vMerge w:val="restar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01.05.2002р.</w:t>
            </w:r>
          </w:p>
        </w:tc>
        <w:tc>
          <w:tcPr>
            <w:tcW w:w="0" w:type="auto"/>
            <w:gridSpan w:val="3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абонентів без квартирних лічильників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0,492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0,516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1,008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абонентів з квартирними лічильниками</w:t>
            </w:r>
          </w:p>
        </w:tc>
        <w:tc>
          <w:tcPr>
            <w:tcW w:w="0" w:type="auto"/>
            <w:vMerge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0,4674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0,4902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0,9576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№209 від 01.03.2001р.</w:t>
            </w:r>
          </w:p>
        </w:tc>
        <w:tc>
          <w:tcPr>
            <w:tcW w:w="0" w:type="auto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01.05.2001р.</w:t>
            </w:r>
          </w:p>
        </w:tc>
        <w:tc>
          <w:tcPr>
            <w:tcW w:w="0" w:type="auto"/>
            <w:gridSpan w:val="3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абонентів без квартирних лічильників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0,5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0,54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1,04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i/>
                <w:iCs/>
                <w:color w:val="000000"/>
                <w:sz w:val="17"/>
                <w:szCs w:val="17"/>
                <w:lang w:eastAsia="uk-UA"/>
              </w:rPr>
              <w:t>для абонентів з квартирними лічильниками</w:t>
            </w:r>
          </w:p>
        </w:tc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0,475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0,513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0,988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№427 від 17.05.2000р.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01.05.2000р.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0,444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0,48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0,924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Рішення виконкому Тернопільської міськради №180 від 23.02.2000р.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01.03.2000р.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0,52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0,498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1,018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Розпорядження голови ОДА №1157 від 29.10.1998р.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01.11.1998р.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0,312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Розпорядження голови ОДА №371 від 21.08.1998р.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01.09.1998р.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0,204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0,18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0,384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Розпорядження голови ОДА №147 від 27.04.1998р.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01.05.1998р.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0,312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Розпорядження голови ОДА №432 від 21.10.1997р.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01.10.1997р.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0,156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0,312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u w:val="single"/>
                <w:lang w:eastAsia="uk-UA"/>
              </w:rPr>
              <w:t>Розпорядження голови ОДА №325 від 07.08.1996р.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01.08.1996р.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0,15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0,16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0,31</w:t>
            </w:r>
          </w:p>
        </w:tc>
      </w:tr>
    </w:tbl>
    <w:p w:rsidR="006A57D3" w:rsidRPr="006A57D3" w:rsidRDefault="006A57D3" w:rsidP="006A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57D3" w:rsidRPr="006A57D3" w:rsidRDefault="006A57D3" w:rsidP="006A57D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  <w:t>Норми споживання питної води населенням,</w:t>
      </w:r>
    </w:p>
    <w:p w:rsidR="006A57D3" w:rsidRPr="006A57D3" w:rsidRDefault="006A57D3" w:rsidP="006A57D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  <w:t>затверджені рішенням виконкому</w:t>
      </w:r>
    </w:p>
    <w:p w:rsidR="006A57D3" w:rsidRPr="006A57D3" w:rsidRDefault="006A57D3" w:rsidP="006A57D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  <w:t>Тернопільської міської ради №360 від 10.04.2014р.</w:t>
      </w:r>
    </w:p>
    <w:p w:rsidR="006A57D3" w:rsidRPr="006A57D3" w:rsidRDefault="006A57D3" w:rsidP="006A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shd w:val="clear" w:color="auto" w:fill="F3F3F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5"/>
        <w:gridCol w:w="6135"/>
        <w:gridCol w:w="2848"/>
        <w:gridCol w:w="141"/>
      </w:tblGrid>
      <w:tr w:rsidR="006A57D3" w:rsidRPr="006A57D3" w:rsidTr="006A57D3">
        <w:trPr>
          <w:gridAfter w:val="1"/>
          <w:tblCellSpacing w:w="15" w:type="dxa"/>
        </w:trPr>
        <w:tc>
          <w:tcPr>
            <w:tcW w:w="2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№</w:t>
            </w:r>
          </w:p>
        </w:tc>
        <w:tc>
          <w:tcPr>
            <w:tcW w:w="32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Види благоустрою житлового фонду</w:t>
            </w:r>
          </w:p>
        </w:tc>
        <w:tc>
          <w:tcPr>
            <w:tcW w:w="150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Норми споживання населенням послуг централізованого питного водопостачання холодної води, л/добу * особу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gridSpan w:val="4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u w:val="single"/>
                <w:lang w:eastAsia="uk-UA"/>
              </w:rPr>
              <w:t>1.Багатоквартирні житлові будинки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з водопроводом і каналізацією без ванн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120,0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 xml:space="preserve">з водопроводом і каналізацією з ваннами та індивідуальними водопідігрівачами (газовими колонками або котлами, </w:t>
            </w:r>
            <w:proofErr w:type="spellStart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електро</w:t>
            </w:r>
            <w:proofErr w:type="spellEnd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-бойлерами)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300,0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lastRenderedPageBreak/>
              <w:t>3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з водопроводом і каналізацією, з ваннами без індивідуальних водопідігрівачів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180,0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4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з водопроводом і каналізацією, ЦГВ, з умивальниками, мийками та душами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135,0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 те ж саме, при відсутності гарячої води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200,0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з водопроводом і каналізацією, ЦГВ, з ваннами та душами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240,0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 те ж саме, при відсутності гарячої води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300,0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gridSpan w:val="4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u w:val="single"/>
                <w:lang w:eastAsia="uk-UA"/>
              </w:rPr>
              <w:t>2.Приватні житлові будинки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6</w:t>
            </w:r>
          </w:p>
        </w:tc>
        <w:tc>
          <w:tcPr>
            <w:tcW w:w="3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з користуванням питною водою з вуличних водорозбірних колонок</w:t>
            </w:r>
          </w:p>
        </w:tc>
        <w:tc>
          <w:tcPr>
            <w:tcW w:w="150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50,0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7</w:t>
            </w:r>
          </w:p>
        </w:tc>
        <w:tc>
          <w:tcPr>
            <w:tcW w:w="3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з користуванням питною водою з дворових водорозбірних колонок або водорозбірних крані</w:t>
            </w:r>
          </w:p>
        </w:tc>
        <w:tc>
          <w:tcPr>
            <w:tcW w:w="150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110,0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8</w:t>
            </w:r>
          </w:p>
        </w:tc>
        <w:tc>
          <w:tcPr>
            <w:tcW w:w="3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 xml:space="preserve">з водопроводом і каналізацією (або </w:t>
            </w:r>
            <w:proofErr w:type="spellStart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вигрібом</w:t>
            </w:r>
            <w:proofErr w:type="spellEnd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), без ванн</w:t>
            </w:r>
          </w:p>
        </w:tc>
        <w:tc>
          <w:tcPr>
            <w:tcW w:w="150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120,0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9</w:t>
            </w:r>
          </w:p>
        </w:tc>
        <w:tc>
          <w:tcPr>
            <w:tcW w:w="3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 xml:space="preserve">з водопроводом і каналізацією (або </w:t>
            </w:r>
            <w:proofErr w:type="spellStart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вигрібом</w:t>
            </w:r>
            <w:proofErr w:type="spellEnd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), з ваннами без індивідуальних водопідігрівачів</w:t>
            </w:r>
          </w:p>
        </w:tc>
        <w:tc>
          <w:tcPr>
            <w:tcW w:w="150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180,0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10</w:t>
            </w:r>
          </w:p>
        </w:tc>
        <w:tc>
          <w:tcPr>
            <w:tcW w:w="3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 xml:space="preserve">з водопроводом і каналізацією (або </w:t>
            </w:r>
            <w:proofErr w:type="spellStart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вигрібом</w:t>
            </w:r>
            <w:proofErr w:type="spellEnd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 xml:space="preserve">), з ваннами та індивідуальними водопідігрівачами (газовими колонками або котлами, </w:t>
            </w:r>
            <w:proofErr w:type="spellStart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електробойлерами</w:t>
            </w:r>
            <w:proofErr w:type="spellEnd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, нагрівачами на твердому паливі)</w:t>
            </w:r>
          </w:p>
        </w:tc>
        <w:tc>
          <w:tcPr>
            <w:tcW w:w="150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300,0</w:t>
            </w:r>
          </w:p>
        </w:tc>
        <w:tc>
          <w:tcPr>
            <w:tcW w:w="0" w:type="auto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gridSpan w:val="4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u w:val="single"/>
                <w:lang w:eastAsia="uk-UA"/>
              </w:rPr>
              <w:t>3.Гуртожитки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11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без душових, водопровід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60,0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12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із загальними душовими, з ЦГВ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80,0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 те ж саме, при відсутності гарячої води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110,0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vMerge w:val="restar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13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із загальними кухнями та блоками душових при житлових кімнатах у кожній секції будинку, з ЦГВ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120,0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vMerge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- те ж саме, при відсутності гарячої води</w:t>
            </w:r>
          </w:p>
        </w:tc>
        <w:tc>
          <w:tcPr>
            <w:tcW w:w="150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160,0</w:t>
            </w:r>
          </w:p>
        </w:tc>
        <w:tc>
          <w:tcPr>
            <w:tcW w:w="0" w:type="auto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6A57D3" w:rsidRPr="006A57D3" w:rsidRDefault="006A57D3" w:rsidP="006A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</w:r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>Примітка до додатку №1:</w:t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AFAFA"/>
          <w:lang w:eastAsia="uk-UA"/>
        </w:rPr>
        <w:t> </w:t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</w:r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 xml:space="preserve">У випадку, коли за </w:t>
      </w:r>
      <w:proofErr w:type="spellStart"/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>адресою</w:t>
      </w:r>
      <w:proofErr w:type="spellEnd"/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 xml:space="preserve"> споживача відсутні чи незареєстровані належним чином індивідуальні </w:t>
      </w:r>
      <w:proofErr w:type="spellStart"/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>водолічильники</w:t>
      </w:r>
      <w:proofErr w:type="spellEnd"/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 xml:space="preserve"> і в його помешканні не зареєстровано (не проживає) жодної особи, нарахування за послуги централізованого постачання холодної води та водовідведення проводити на 1 особу.</w:t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AFAFA"/>
          <w:lang w:eastAsia="uk-UA"/>
        </w:rPr>
        <w:t> </w:t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AFAFA"/>
          <w:lang w:eastAsia="uk-UA"/>
        </w:rPr>
        <w:t>Додаток №2 </w:t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AFAFA"/>
          <w:lang w:eastAsia="uk-UA"/>
        </w:rPr>
        <w:t>НОРМИ ВИТРАТ ВОДИ НА ПОЛИВАННЯ ГАЗОНІВ, ПРИСАДИБНИХ ДІЛЯНОК, ТЕПЛИЦЬ </w:t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</w:r>
    </w:p>
    <w:p w:rsidR="006A57D3" w:rsidRPr="006A57D3" w:rsidRDefault="006A57D3" w:rsidP="006A5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Згідно з чинними будівельними нормами та правилами ДБН В.2.5-64:2012 «Внутрішній водопровід та каналізація» /додаток А/ норми витрати питної води на поливання встановлюються:</w:t>
      </w:r>
    </w:p>
    <w:p w:rsidR="006A57D3" w:rsidRPr="006A57D3" w:rsidRDefault="006A57D3" w:rsidP="006A57D3">
      <w:pPr>
        <w:spacing w:after="0" w:line="240" w:lineRule="auto"/>
        <w:ind w:left="720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- на поливання насаджень на присадибних ділянках – 6,0 л/м2 ; </w:t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  <w:t>- на поливання посадок у парниках та теплицях – 15,0 л/м2.</w:t>
      </w:r>
    </w:p>
    <w:p w:rsidR="006A57D3" w:rsidRPr="006A57D3" w:rsidRDefault="006A57D3" w:rsidP="006A5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Норми витрат води на поливання встановлені з розрахунку – одне поливання на добу.</w:t>
      </w:r>
    </w:p>
    <w:p w:rsidR="006A57D3" w:rsidRPr="006A57D3" w:rsidRDefault="006A57D3" w:rsidP="006A57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Планова кількість днів поливів посадок у відкритому ґрунті за рік встановлюється за даними Гідрометеорологічного довідника «Клімат СРСР» для Тернопільської області – не більше 138 днів на рік. Період застосування норми на поливання насаджень на присадибних ділянках – з квітня по серпень.</w:t>
      </w:r>
    </w:p>
    <w:p w:rsidR="006A57D3" w:rsidRPr="006A57D3" w:rsidRDefault="006A57D3" w:rsidP="006A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>Примітка:</w:t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AFAFA"/>
          <w:lang w:eastAsia="uk-UA"/>
        </w:rPr>
        <w:t> </w:t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</w:r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>Нарахування за поливання насаджень присадибних ділянок проводити у недощові дні на підставі довідки Тернопільського обласного гідрометеорологічного центру.</w:t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shd w:val="clear" w:color="auto" w:fill="FAFAFA"/>
          <w:lang w:eastAsia="uk-UA"/>
        </w:rPr>
        <w:t> </w:t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</w: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</w:r>
    </w:p>
    <w:p w:rsidR="006A57D3" w:rsidRPr="006A57D3" w:rsidRDefault="006A57D3" w:rsidP="006A57D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  <w:t>Норми споживання питної води населенням,</w:t>
      </w:r>
    </w:p>
    <w:p w:rsidR="006A57D3" w:rsidRPr="006A57D3" w:rsidRDefault="006A57D3" w:rsidP="006A57D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  <w:t>затверджені рішенням виконкому Тернопільської міської ради №179 від 23.02.2000р.</w:t>
      </w:r>
    </w:p>
    <w:p w:rsidR="006A57D3" w:rsidRPr="006A57D3" w:rsidRDefault="006A57D3" w:rsidP="006A57D3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b/>
          <w:bCs/>
          <w:color w:val="3276E3"/>
          <w:sz w:val="17"/>
          <w:szCs w:val="17"/>
          <w:lang w:eastAsia="uk-UA"/>
        </w:rPr>
        <w:t>(втратили чинність, див. Законодавство)</w:t>
      </w:r>
    </w:p>
    <w:p w:rsidR="006A57D3" w:rsidRPr="006A57D3" w:rsidRDefault="006A57D3" w:rsidP="006A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5" w:type="dxa"/>
        <w:shd w:val="clear" w:color="auto" w:fill="F3F3F3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0"/>
        <w:gridCol w:w="6198"/>
        <w:gridCol w:w="1453"/>
        <w:gridCol w:w="1468"/>
      </w:tblGrid>
      <w:tr w:rsidR="006A57D3" w:rsidRPr="006A57D3" w:rsidTr="006A57D3">
        <w:trPr>
          <w:tblCellSpacing w:w="15" w:type="dxa"/>
        </w:trPr>
        <w:tc>
          <w:tcPr>
            <w:tcW w:w="250" w:type="pct"/>
            <w:vMerge w:val="restar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№</w:t>
            </w:r>
          </w:p>
        </w:tc>
        <w:tc>
          <w:tcPr>
            <w:tcW w:w="3250" w:type="pct"/>
            <w:vMerge w:val="restar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Назва норми</w:t>
            </w:r>
          </w:p>
        </w:tc>
        <w:tc>
          <w:tcPr>
            <w:tcW w:w="1500" w:type="pct"/>
            <w:gridSpan w:val="2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Середньодобова норма на 1 мешканця, л/доба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0" w:type="auto"/>
            <w:vMerge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0" w:type="auto"/>
            <w:vMerge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</w:p>
        </w:tc>
        <w:tc>
          <w:tcPr>
            <w:tcW w:w="7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водо- постачання</w:t>
            </w:r>
          </w:p>
        </w:tc>
        <w:tc>
          <w:tcPr>
            <w:tcW w:w="750" w:type="pct"/>
            <w:shd w:val="clear" w:color="auto" w:fill="D3DC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uk-UA"/>
              </w:rPr>
              <w:t>водо- відведення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</w:t>
            </w:r>
          </w:p>
        </w:tc>
        <w:tc>
          <w:tcPr>
            <w:tcW w:w="3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Водопровід з централізованим гарячим водопостачанням, ванною 1,5м-1,7м</w:t>
            </w:r>
          </w:p>
        </w:tc>
        <w:tc>
          <w:tcPr>
            <w:tcW w:w="7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160.00</w:t>
            </w:r>
          </w:p>
        </w:tc>
        <w:tc>
          <w:tcPr>
            <w:tcW w:w="7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160.00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 xml:space="preserve">Водопровід з газовим </w:t>
            </w:r>
            <w:proofErr w:type="spellStart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водонагрiвачем</w:t>
            </w:r>
            <w:proofErr w:type="spellEnd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 xml:space="preserve"> (колонка)</w:t>
            </w:r>
          </w:p>
        </w:tc>
        <w:tc>
          <w:tcPr>
            <w:tcW w:w="7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231.00</w:t>
            </w:r>
          </w:p>
        </w:tc>
        <w:tc>
          <w:tcPr>
            <w:tcW w:w="7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231.00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3</w:t>
            </w:r>
          </w:p>
        </w:tc>
        <w:tc>
          <w:tcPr>
            <w:tcW w:w="3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Водопровідний кран в будинку (квартирі)</w:t>
            </w:r>
          </w:p>
        </w:tc>
        <w:tc>
          <w:tcPr>
            <w:tcW w:w="7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95.00</w:t>
            </w:r>
          </w:p>
        </w:tc>
        <w:tc>
          <w:tcPr>
            <w:tcW w:w="7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95.00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4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Кран в дворі (з каналізацією)</w:t>
            </w:r>
          </w:p>
        </w:tc>
        <w:tc>
          <w:tcPr>
            <w:tcW w:w="7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80.00</w:t>
            </w:r>
          </w:p>
        </w:tc>
        <w:tc>
          <w:tcPr>
            <w:tcW w:w="7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80.00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</w:t>
            </w:r>
          </w:p>
        </w:tc>
        <w:tc>
          <w:tcPr>
            <w:tcW w:w="3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Вулична колонка (з каналізацією)</w:t>
            </w:r>
          </w:p>
        </w:tc>
        <w:tc>
          <w:tcPr>
            <w:tcW w:w="7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50.00</w:t>
            </w:r>
          </w:p>
        </w:tc>
        <w:tc>
          <w:tcPr>
            <w:tcW w:w="7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50.00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6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Висотні будинки понад 12 поверхів</w:t>
            </w:r>
          </w:p>
        </w:tc>
        <w:tc>
          <w:tcPr>
            <w:tcW w:w="7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245.00</w:t>
            </w:r>
          </w:p>
        </w:tc>
        <w:tc>
          <w:tcPr>
            <w:tcW w:w="7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245.00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7</w:t>
            </w:r>
          </w:p>
        </w:tc>
        <w:tc>
          <w:tcPr>
            <w:tcW w:w="3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 xml:space="preserve">Квартири </w:t>
            </w:r>
            <w:proofErr w:type="spellStart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iз</w:t>
            </w:r>
            <w:proofErr w:type="spellEnd"/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 xml:space="preserve"> сидячими ваннами до 1,5м</w:t>
            </w:r>
          </w:p>
        </w:tc>
        <w:tc>
          <w:tcPr>
            <w:tcW w:w="7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140.00</w:t>
            </w:r>
          </w:p>
        </w:tc>
        <w:tc>
          <w:tcPr>
            <w:tcW w:w="7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140.00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10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Гуртожитки з загальними душовими</w:t>
            </w:r>
          </w:p>
        </w:tc>
        <w:tc>
          <w:tcPr>
            <w:tcW w:w="7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40.00</w:t>
            </w:r>
          </w:p>
        </w:tc>
        <w:tc>
          <w:tcPr>
            <w:tcW w:w="7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40.00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11</w:t>
            </w:r>
          </w:p>
        </w:tc>
        <w:tc>
          <w:tcPr>
            <w:tcW w:w="32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Гуртожитки з блоками душових</w:t>
            </w:r>
          </w:p>
        </w:tc>
        <w:tc>
          <w:tcPr>
            <w:tcW w:w="7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60.00</w:t>
            </w:r>
          </w:p>
        </w:tc>
        <w:tc>
          <w:tcPr>
            <w:tcW w:w="750" w:type="pct"/>
            <w:shd w:val="clear" w:color="auto" w:fill="F0F0F0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60.00</w:t>
            </w:r>
          </w:p>
        </w:tc>
      </w:tr>
      <w:tr w:rsidR="006A57D3" w:rsidRPr="006A57D3" w:rsidTr="006A57D3">
        <w:trPr>
          <w:tblCellSpacing w:w="15" w:type="dxa"/>
        </w:trPr>
        <w:tc>
          <w:tcPr>
            <w:tcW w:w="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12</w:t>
            </w:r>
          </w:p>
        </w:tc>
        <w:tc>
          <w:tcPr>
            <w:tcW w:w="32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Гуртожитки без душових</w:t>
            </w:r>
          </w:p>
        </w:tc>
        <w:tc>
          <w:tcPr>
            <w:tcW w:w="7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60.00</w:t>
            </w:r>
          </w:p>
        </w:tc>
        <w:tc>
          <w:tcPr>
            <w:tcW w:w="750" w:type="pct"/>
            <w:shd w:val="clear" w:color="auto" w:fill="E3E3E3"/>
            <w:vAlign w:val="center"/>
            <w:hideMark/>
          </w:tcPr>
          <w:p w:rsidR="006A57D3" w:rsidRPr="006A57D3" w:rsidRDefault="006A57D3" w:rsidP="006A57D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</w:pPr>
            <w:r w:rsidRPr="006A57D3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uk-UA"/>
              </w:rPr>
              <w:t>60.00</w:t>
            </w:r>
          </w:p>
        </w:tc>
      </w:tr>
    </w:tbl>
    <w:p w:rsidR="006A57D3" w:rsidRPr="006A57D3" w:rsidRDefault="006A57D3" w:rsidP="006A5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57D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</w:r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>Примітка:</w:t>
      </w:r>
    </w:p>
    <w:p w:rsidR="006A57D3" w:rsidRPr="006A57D3" w:rsidRDefault="006A57D3" w:rsidP="006A5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>у серпні, вересні місяцях застосовується коефіцієнт 1,1 до норми</w:t>
      </w:r>
    </w:p>
    <w:p w:rsidR="006A57D3" w:rsidRPr="006A57D3" w:rsidRDefault="006A57D3" w:rsidP="006A5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>у випадку перерв у централізованому гарячому водопостачанні понад 3 доби застосовується коефіцієнт 1,4 до норми</w:t>
      </w:r>
    </w:p>
    <w:p w:rsidR="006A57D3" w:rsidRPr="006A57D3" w:rsidRDefault="006A57D3" w:rsidP="006A57D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</w:pPr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>норма на полив насаджень присадибних ділянок складає 4л/м</w:t>
      </w:r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vertAlign w:val="superscript"/>
          <w:lang w:eastAsia="uk-UA"/>
        </w:rPr>
        <w:t>2</w:t>
      </w:r>
      <w:r w:rsidRPr="006A57D3">
        <w:rPr>
          <w:rFonts w:ascii="Verdana" w:eastAsia="Times New Roman" w:hAnsi="Verdana" w:cs="Times New Roman"/>
          <w:i/>
          <w:iCs/>
          <w:color w:val="000000"/>
          <w:sz w:val="17"/>
          <w:szCs w:val="17"/>
          <w:lang w:eastAsia="uk-UA"/>
        </w:rPr>
        <w:t>. Застосовується в травні, червні та липні місяцях (рішення виконкому Тернопільської міськради від 25.05.2005р. №609)</w:t>
      </w:r>
    </w:p>
    <w:p w:rsidR="00327C88" w:rsidRDefault="006A57D3"/>
    <w:sectPr w:rsidR="00327C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45C48"/>
    <w:multiLevelType w:val="multilevel"/>
    <w:tmpl w:val="F2764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2E4370"/>
    <w:multiLevelType w:val="multilevel"/>
    <w:tmpl w:val="D5CE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FC"/>
    <w:rsid w:val="006A57D3"/>
    <w:rsid w:val="006D5D64"/>
    <w:rsid w:val="006F6EFC"/>
    <w:rsid w:val="0071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D4319-FB54-468E-9A7C-991C176D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A57D3"/>
  </w:style>
  <w:style w:type="character" w:styleId="a3">
    <w:name w:val="Strong"/>
    <w:basedOn w:val="a0"/>
    <w:uiPriority w:val="22"/>
    <w:qFormat/>
    <w:rsid w:val="006A5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6663</Words>
  <Characters>3799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Біловус</dc:creator>
  <cp:keywords/>
  <dc:description/>
  <cp:lastModifiedBy>Андрій Біловус</cp:lastModifiedBy>
  <cp:revision>2</cp:revision>
  <dcterms:created xsi:type="dcterms:W3CDTF">2015-03-23T16:36:00Z</dcterms:created>
  <dcterms:modified xsi:type="dcterms:W3CDTF">2015-03-23T16:36:00Z</dcterms:modified>
</cp:coreProperties>
</file>